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right"/>
        <w:rPr>
          <w:sz w:val="28"/>
        </w:rPr>
      </w:pPr>
      <w:r>
        <w:rPr>
          <w:sz w:val="28"/>
        </w:rPr>
        <w:t xml:space="preserve">ПРОЕКТ</w:t>
      </w:r>
      <w:r>
        <w:rPr>
          <w:sz w:val="28"/>
        </w:rPr>
      </w:r>
      <w:r/>
    </w:p>
    <w:p>
      <w:pPr>
        <w:pStyle w:val="915"/>
        <w:jc w:val="right"/>
        <w:rPr>
          <w:sz w:val="28"/>
        </w:rPr>
      </w:pPr>
      <w:r>
        <w:rPr>
          <w:sz w:val="28"/>
        </w:rPr>
      </w:r>
      <w:r/>
    </w:p>
    <w:p>
      <w:pPr>
        <w:pStyle w:val="915"/>
        <w:rPr>
          <w:b w:val="0"/>
          <w:sz w:val="28"/>
        </w:rPr>
      </w:pPr>
      <w:r>
        <w:rPr>
          <w:b/>
          <w:sz w:val="28"/>
        </w:rPr>
        <w:t xml:space="preserve">                        </w:t>
      </w:r>
      <w:r>
        <w:rPr>
          <w:b w:val="0"/>
          <w:sz w:val="28"/>
        </w:rPr>
        <w:t xml:space="preserve">ПРАВИТЕЛЬСТВО БРЯНСКОЙ ОБЛАСТИ</w:t>
      </w:r>
      <w:r>
        <w:rPr>
          <w:b w:val="0"/>
        </w:rPr>
      </w:r>
      <w:r/>
    </w:p>
    <w:p>
      <w:pPr>
        <w:pStyle w:val="915"/>
        <w:rPr>
          <w:b w:val="0"/>
          <w:sz w:val="28"/>
        </w:rPr>
      </w:pPr>
      <w:r>
        <w:rPr>
          <w:b w:val="0"/>
          <w:sz w:val="28"/>
        </w:rPr>
      </w:r>
      <w:r>
        <w:rPr>
          <w:b w:val="0"/>
        </w:rPr>
      </w:r>
      <w:r/>
    </w:p>
    <w:p>
      <w:pPr>
        <w:pStyle w:val="915"/>
        <w:jc w:val="center"/>
        <w:rPr>
          <w:b/>
          <w:sz w:val="28"/>
        </w:rPr>
      </w:pPr>
      <w:r>
        <w:rPr>
          <w:b w:val="0"/>
          <w:sz w:val="28"/>
        </w:rPr>
        <w:t xml:space="preserve">ПОСТАНОВЛЕНИЕ</w:t>
      </w:r>
      <w:r>
        <w:rPr>
          <w:b/>
          <w:sz w:val="28"/>
        </w:rPr>
      </w:r>
      <w:r/>
    </w:p>
    <w:p>
      <w:pPr>
        <w:pStyle w:val="915"/>
        <w:rPr>
          <w:b/>
          <w:sz w:val="28"/>
        </w:rPr>
      </w:pPr>
      <w:r>
        <w:rPr>
          <w:b/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_________</w:t>
      </w:r>
      <w:r>
        <w:rPr>
          <w:sz w:val="28"/>
        </w:rPr>
        <w:t xml:space="preserve">  </w:t>
      </w:r>
      <w:r>
        <w:rPr>
          <w:sz w:val="28"/>
        </w:rPr>
        <w:t xml:space="preserve">г.</w:t>
      </w:r>
      <w:r>
        <w:rPr>
          <w:sz w:val="28"/>
        </w:rPr>
        <w:t xml:space="preserve">   </w:t>
      </w:r>
      <w:r>
        <w:rPr>
          <w:sz w:val="28"/>
        </w:rPr>
        <w:t xml:space="preserve">№</w:t>
      </w:r>
      <w:r>
        <w:rPr>
          <w:sz w:val="28"/>
        </w:rPr>
        <w:t xml:space="preserve">  </w:t>
      </w:r>
      <w:r>
        <w:rPr>
          <w:sz w:val="28"/>
        </w:rPr>
        <w:t xml:space="preserve">_________</w:t>
      </w:r>
      <w:r>
        <w:rPr>
          <w:sz w:val="28"/>
        </w:rPr>
      </w:r>
      <w:r/>
    </w:p>
    <w:p>
      <w:pPr>
        <w:pStyle w:val="915"/>
        <w:ind w:right="5385" w:firstLine="709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  <w:rPr>
          <w:sz w:val="28"/>
        </w:rPr>
      </w:pPr>
      <w:r>
        <w:rPr>
          <w:sz w:val="28"/>
        </w:rPr>
        <w:t xml:space="preserve">г. Брянск</w:t>
      </w:r>
      <w:r>
        <w:rPr>
          <w:sz w:val="28"/>
        </w:rPr>
      </w:r>
      <w:r/>
    </w:p>
    <w:p>
      <w:pPr>
        <w:pStyle w:val="915"/>
        <w:ind w:right="5385" w:firstLine="709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  <w:rPr>
          <w:sz w:val="28"/>
        </w:rPr>
      </w:pPr>
      <w:r>
        <w:rPr>
          <w:sz w:val="28"/>
        </w:rPr>
      </w:r>
      <w:r/>
    </w:p>
    <w:p>
      <w:pPr>
        <w:pStyle w:val="915"/>
        <w:jc w:val="both"/>
        <w:rPr>
          <w:sz w:val="28"/>
        </w:rPr>
        <w:outlineLvl w:val="1"/>
      </w:pPr>
      <w:r>
        <w:rPr>
          <w:sz w:val="28"/>
        </w:rPr>
      </w:r>
      <w:r/>
    </w:p>
    <w:p>
      <w:pPr>
        <w:pStyle w:val="915"/>
        <w:ind w:right="5243"/>
        <w:jc w:val="both"/>
        <w:tabs>
          <w:tab w:val="left" w:pos="4253" w:leader="none"/>
          <w:tab w:val="left" w:pos="4820" w:leader="none"/>
          <w:tab w:val="left" w:pos="5103" w:leader="none"/>
          <w:tab w:val="left" w:pos="5245" w:leader="none"/>
        </w:tabs>
        <w:rPr>
          <w:sz w:val="28"/>
        </w:rPr>
      </w:pPr>
      <w:r>
        <w:rPr>
          <w:sz w:val="28"/>
        </w:rPr>
        <w:t xml:space="preserve">О внесении изменений в  </w:t>
      </w:r>
      <w:r>
        <w:rPr>
          <w:sz w:val="28"/>
        </w:rPr>
        <w:t xml:space="preserve">Положение </w:t>
      </w:r>
      <w:r>
        <w:rPr>
          <w:sz w:val="28"/>
        </w:rPr>
        <w:t xml:space="preserve">об </w:t>
      </w:r>
      <w:r>
        <w:rPr>
          <w:sz w:val="28"/>
        </w:rPr>
        <w:t xml:space="preserve">оплате труда работников государственных казенных учреждений социальной защиты населения и социального обслуживания населения Брянской области</w:t>
      </w:r>
      <w:r>
        <w:rPr>
          <w:sz w:val="28"/>
        </w:rPr>
      </w:r>
      <w:r/>
    </w:p>
    <w:p>
      <w:pPr>
        <w:pStyle w:val="915"/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915"/>
        <w:ind w:firstLine="709"/>
        <w:jc w:val="both"/>
        <w:rPr>
          <w:sz w:val="28"/>
          <w:szCs w:val="28"/>
        </w:rPr>
        <w:outlineLvl w:val="1"/>
        <w:suppressLineNumbers w:val="0"/>
      </w:pPr>
      <w:r/>
      <w:bookmarkStart w:id="0" w:name="_Hlk136856045"/>
      <w:r>
        <w:rPr>
          <w:sz w:val="28"/>
          <w:szCs w:val="28"/>
        </w:rPr>
        <w:t xml:space="preserve">В соответствии с Законом Брянской области от 3 ноября 1997 года № 28-З «О законах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</w:t>
      </w:r>
      <w:r>
        <w:rPr>
          <w:sz w:val="28"/>
          <w:szCs w:val="28"/>
        </w:rPr>
        <w:t xml:space="preserve"> и иных нормативных правовых актах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</w:t>
      </w:r>
      <w:r>
        <w:rPr>
          <w:sz w:val="28"/>
          <w:szCs w:val="28"/>
        </w:rPr>
        <w:t xml:space="preserve">авительства Брянской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389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«Об индексации заработной платы работников государственных учре</w:t>
      </w:r>
      <w:r>
        <w:rPr>
          <w:sz w:val="28"/>
          <w:szCs w:val="28"/>
        </w:rPr>
        <w:t xml:space="preserve">ждений Брянской области с 1 октября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года» Правительство Брянской области</w:t>
      </w:r>
      <w:r/>
    </w:p>
    <w:p>
      <w:pPr>
        <w:pStyle w:val="915"/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pStyle w:val="915"/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915"/>
        <w:ind w:firstLine="709"/>
        <w:jc w:val="both"/>
        <w:rPr>
          <w:sz w:val="28"/>
          <w:szCs w:val="28"/>
          <w:highlight w:val="none"/>
        </w:rPr>
        <w:outlineLvl w:val="1"/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оплате труда работников государственных казенных учреждений социальной защиты населения и социального обслуживания населения Брянской области, утвержденное постановлением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авительства Брянской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июля 2017 года № 320-п «Об утверждении Положения об оплате труда работников государственных казенных учреждений социальной защиты населения и социального обслуживания населения Брянской области»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редакции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Правительства Брянской области от 23 октября 2017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523-п, </w:t>
        <w:br/>
        <w:t xml:space="preserve">от 19 февраля 2018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532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575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31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487-п</w:t>
      </w:r>
      <w:r>
        <w:rPr>
          <w:sz w:val="28"/>
          <w:szCs w:val="28"/>
        </w:rPr>
        <w:t xml:space="preserve">, от 16 октября 2023 года </w:t>
        <w:br/>
        <w:t xml:space="preserve">№ 490-п, </w:t>
      </w:r>
      <w:r>
        <w:rPr>
          <w:sz w:val="28"/>
          <w:szCs w:val="28"/>
        </w:rPr>
        <w:t xml:space="preserve">от 4 декабря 2023 года № 623-п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outlineLvl w:val="1"/>
        <w:suppressLineNumbers w:val="0"/>
      </w:pPr>
      <w:r>
        <w:rPr>
          <w:sz w:val="28"/>
          <w:szCs w:val="28"/>
          <w:highlight w:val="none"/>
        </w:rPr>
        <w:t xml:space="preserve">В разделе 1 «Общие положения» </w:t>
      </w:r>
      <w:r>
        <w:rPr>
          <w:color w:val="000000"/>
          <w:sz w:val="28"/>
          <w:szCs w:val="28"/>
          <w:highlight w:val="none"/>
        </w:rPr>
        <w:t xml:space="preserve">в абзаце седьмом пункта 1.1 после слова «окладов» дополнить словами «(должностных окладов)».</w:t>
      </w:r>
      <w:r>
        <w:rPr>
          <w:sz w:val="28"/>
          <w:szCs w:val="28"/>
        </w:rPr>
      </w:r>
      <w:r/>
    </w:p>
    <w:p>
      <w:pPr>
        <w:pStyle w:val="915"/>
        <w:ind w:right="-1" w:firstLine="709"/>
        <w:jc w:val="both"/>
        <w:tabs>
          <w:tab w:val="left" w:pos="4253" w:leader="none"/>
          <w:tab w:val="left" w:pos="4820" w:leader="none"/>
          <w:tab w:val="left" w:pos="5103" w:leader="none"/>
          <w:tab w:val="left" w:pos="5245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разделе 3 «Размеры окладов (должностных окладов) по должностям (профессиям) работников учреждений социальной защиты населения (ОСЗН) и социального обслуживания населения (КЦСА БОМЖ)»: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16"/>
        <w:ind w:left="675" w:firstLine="0"/>
        <w:jc w:val="both"/>
        <w:rPr>
          <w:szCs w:val="28"/>
        </w:rPr>
      </w:pPr>
      <w:r>
        <w:rPr>
          <w:szCs w:val="28"/>
        </w:rPr>
        <w:t xml:space="preserve">1.1.1. В пункте 3.1 </w:t>
      </w:r>
      <w:r>
        <w:rPr>
          <w:szCs w:val="28"/>
        </w:rPr>
        <w:t xml:space="preserve">таблицу изложить в</w:t>
      </w:r>
      <w:r>
        <w:rPr>
          <w:szCs w:val="28"/>
        </w:rPr>
        <w:t xml:space="preserve"> редакции:    </w:t>
      </w:r>
      <w:r/>
    </w:p>
    <w:p>
      <w:r/>
      <w:r/>
    </w:p>
    <w:tbl>
      <w:tblPr>
        <w:tblW w:w="9489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932"/>
        <w:gridCol w:w="4246"/>
        <w:gridCol w:w="48"/>
        <w:gridCol w:w="2220"/>
        <w:gridCol w:w="43"/>
      </w:tblGrid>
      <w:tr>
        <w:trPr>
          <w:gridAfter w:val="1"/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«Квалификационный уровень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</w:t>
              <w:br w:type="textWrapping" w:clear="all"/>
              <w:t xml:space="preserve">квалификационным уровням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 (рублей)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  <w:tr>
        <w:trPr>
          <w:tblCellSpacing w:w="0" w:type="dxa"/>
          <w:trHeight w:val="608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санитарка, санитарка (мойщица), младшая медицинская сестра по уходу за больными, сестра-хозяйка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5 941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«Средний медицинский и фармацевтический персонал»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дезинфектор, инструктор по трудовой терапии, инструктор по лечебной физкультуре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6 459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 диетическая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лаборант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6 717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сестра, медицинская сестра палатная (постовая), медицинская сестра патронажная, медицинская сестра приемного отделения (приемного покоя), медицинская сестра по массажу, медицинская сестра по физиотерапии, фармацевт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зубной врач, фельдшер, медицинская сестра процедурной, медицинская сестра перевязочной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7 360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медицинская сестра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7 620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«Врачи и провизоры»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врачи – специалисты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8 007</w:t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«Руководители </w:t>
              <w:br w:type="textWrapping" w:clear="all"/>
              <w:t xml:space="preserve">структурных подразделений учреждений с высшим медицинским и фармацевтическим образованием (врач - специалист, провизор)»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4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9 556».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15"/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915"/>
        <w:ind w:left="675" w:firstLine="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1.1.2. В пункте 3</w:t>
      </w:r>
      <w:r>
        <w:rPr>
          <w:sz w:val="28"/>
          <w:szCs w:val="28"/>
        </w:rPr>
        <w:t xml:space="preserve">.2 таблицу изложить в </w:t>
      </w:r>
      <w:r>
        <w:rPr>
          <w:sz w:val="28"/>
          <w:szCs w:val="28"/>
        </w:rPr>
        <w:t xml:space="preserve"> редакции:   </w:t>
      </w:r>
      <w:r/>
    </w:p>
    <w:tbl>
      <w:tblPr>
        <w:tblW w:w="9489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784"/>
        <w:gridCol w:w="4394"/>
        <w:gridCol w:w="48"/>
        <w:gridCol w:w="2220"/>
        <w:gridCol w:w="43"/>
      </w:tblGrid>
      <w:tr>
        <w:trPr>
          <w:gridAfter w:val="1"/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«Квалификационный уровень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</w:t>
              <w:br w:type="textWrapping" w:clear="all"/>
              <w:t xml:space="preserve">квалификационным уровням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 (рублей)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«Должности специалистов  второго уровня, осуществляющих предоставление социальных услуг»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работник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329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«Должности специалистов  третьего уровня в учреждениях, осуществляющих предоставление  социальных услуг» 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социальной работе, инструктор – методист по лечебной физкультуре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360</w:t>
            </w:r>
            <w:r>
              <w:rPr>
                <w:sz w:val="28"/>
                <w:szCs w:val="28"/>
                <w:lang w:val="en-US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психолог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491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«Должности руководителей в учреждениях, осуществляющих предоставление социальных услуг» 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(отделом)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  <w:lang w:val="ru-RU"/>
              </w:rPr>
              <w:t xml:space="preserve">556»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ind w:left="675" w:firstLine="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1.1.3. В пункте 3</w:t>
      </w:r>
      <w:r>
        <w:rPr>
          <w:sz w:val="28"/>
          <w:szCs w:val="28"/>
        </w:rPr>
        <w:t xml:space="preserve">.3 таблицу изложить в</w:t>
      </w:r>
      <w:r>
        <w:rPr>
          <w:sz w:val="28"/>
          <w:szCs w:val="28"/>
        </w:rPr>
        <w:t xml:space="preserve"> редакции:    </w:t>
      </w:r>
      <w:r/>
    </w:p>
    <w:tbl>
      <w:tblPr>
        <w:tblW w:w="9489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784"/>
        <w:gridCol w:w="4394"/>
        <w:gridCol w:w="48"/>
        <w:gridCol w:w="2220"/>
        <w:gridCol w:w="43"/>
      </w:tblGrid>
      <w:tr>
        <w:trPr>
          <w:gridAfter w:val="1"/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«Квалификационный уровень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</w:t>
              <w:br w:type="textWrapping" w:clear="all"/>
              <w:t xml:space="preserve">квалификационным уровням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 (рублей)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должности служащих первого уровня»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делопроизводитель, оператор по диспетчерскому обслуживанию лифтов,  секретарь, комендант, агент по снабжению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  <w:lang w:val="ru-RU"/>
              </w:rPr>
              <w:t xml:space="preserve">941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служащих второго уровня»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администратор, инспектор по кадрам, лаборант, техник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070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84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хозяйством, заведующий складом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3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  <w:lang w:val="ru-RU"/>
              </w:rPr>
              <w:t xml:space="preserve">329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blCellSpacing w:w="0" w:type="dxa"/>
          <w:trHeight w:val="2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олжности служащих 1 квалификационного уровня, по которым может устанавливаться II внутридолжностная категория:</w:t>
            </w:r>
            <w:r/>
          </w:p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 II категории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84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производством (шеф – повар), начальник хозяйственного отдела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3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  <w:lang w:val="ru-RU"/>
              </w:rPr>
              <w:t xml:space="preserve">587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blCellSpacing w:w="0" w:type="dxa"/>
          <w:trHeight w:val="2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1 квалификационного уровня, по которым может устанавливаться I внутридолжностная  категория:</w:t>
            </w:r>
            <w:r/>
          </w:p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 I категории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8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должности служащих третьего уровня» </w:t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бухгалтер, инженер, и</w:t>
            </w:r>
            <w:r>
              <w:rPr>
                <w:sz w:val="28"/>
                <w:szCs w:val="28"/>
              </w:rPr>
              <w:t xml:space="preserve">нженер по ремонту, инженер – программист (программист), инженер по ремонту, специалист по кадрам, психолог, экономист, юрисконсульт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102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олжности служащих первого квалификационного уровня, по которым может устанавливаться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внутридолжностная категория:  </w:t>
            </w:r>
            <w:r/>
          </w:p>
          <w:p>
            <w:pPr>
              <w:pStyle w:val="94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инженер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 инженер – программист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 (программист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категории), инженер по ремонту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психолог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 экономист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юрисконсульт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232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олжности служащих первого квалификационного уровня, по которым может устанавливаться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внутридолжностная категория: </w:t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категории, инженер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категории, инженер – программист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 (программист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категории), инженер по ремонту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категории, психолог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категории, экономист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категории, юрисконсульт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360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84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2" w:type="dxa"/>
            <w:vAlign w:val="top"/>
            <w:textDirection w:val="lrTb"/>
            <w:noWrap w:val="false"/>
          </w:tcPr>
          <w:p>
            <w:pPr>
              <w:pStyle w:val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олжности служащих первого квалификационного уровня, по которым может устанавливаться производное должностное наименование «ведущий»: </w:t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ведущий инженер, ведущий инженер – программист (ведущий программист), ведущий инженер по ремонту, ведущий психолог, ведущий экономист, ведущий юрисконсульт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3" w:type="dxa"/>
            <w:vAlign w:val="top"/>
            <w:textDirection w:val="lrTb"/>
            <w:noWrap w:val="false"/>
          </w:tcPr>
          <w:p>
            <w:pPr>
              <w:pStyle w:val="944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491».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1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ind w:left="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В пункте 3</w:t>
      </w:r>
      <w:r>
        <w:rPr>
          <w:sz w:val="28"/>
          <w:szCs w:val="28"/>
        </w:rPr>
        <w:t xml:space="preserve">.4 таблицу изложить в</w:t>
      </w:r>
      <w:r>
        <w:rPr>
          <w:sz w:val="28"/>
          <w:szCs w:val="28"/>
        </w:rPr>
        <w:t xml:space="preserve"> редакции: </w:t>
      </w:r>
      <w:r/>
    </w:p>
    <w:tbl>
      <w:tblPr>
        <w:tblW w:w="9360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425"/>
        <w:gridCol w:w="1935"/>
      </w:tblGrid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«Разряд выполняемых работ в соответствии с Единым тарифно – квалификационным справочником работ и профессий рабочих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Оклад (рублей)</w:t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070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199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263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jc w:val="center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329</w:t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425" w:type="dxa"/>
            <w:vAlign w:val="top"/>
            <w:textDirection w:val="lrTb"/>
            <w:noWrap w:val="false"/>
          </w:tcPr>
          <w:p>
            <w:pPr>
              <w:pStyle w:val="994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разряд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5" w:type="dxa"/>
            <w:vAlign w:val="top"/>
            <w:textDirection w:val="lrTb"/>
            <w:noWrap w:val="false"/>
          </w:tcPr>
          <w:p>
            <w:pPr>
              <w:pStyle w:val="994"/>
              <w:ind w:left="360"/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393».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ind w:left="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В пункте 3</w:t>
      </w:r>
      <w:r>
        <w:rPr>
          <w:sz w:val="28"/>
          <w:szCs w:val="28"/>
        </w:rPr>
        <w:t xml:space="preserve">.5 таблицу изложить в</w:t>
      </w:r>
      <w:r>
        <w:rPr>
          <w:sz w:val="28"/>
          <w:szCs w:val="28"/>
        </w:rPr>
        <w:t xml:space="preserve"> редакции: </w:t>
      </w:r>
      <w:r>
        <w:rPr>
          <w:sz w:val="28"/>
          <w:szCs w:val="28"/>
        </w:rPr>
      </w:r>
      <w:r/>
    </w:p>
    <w:tbl>
      <w:tblPr>
        <w:tblW w:w="9382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7036"/>
        <w:gridCol w:w="2346"/>
      </w:tblGrid>
      <w:tr>
        <w:trPr>
          <w:tblCellSpacing w:w="0" w:type="dxa"/>
          <w:trHeight w:val="10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«Наименование должности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 (рублей)</w:t>
            </w:r>
            <w:r/>
          </w:p>
        </w:tc>
      </w:tr>
      <w:tr>
        <w:trPr>
          <w:tblCellSpacing w:w="0" w:type="dxa"/>
          <w:trHeight w:val="5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санитарка палатная, санитарка – ваннщица, санитарка – буфетчица, санитарка – уборщица, санитарка сопровождающая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  <w:lang w:val="ru-RU"/>
              </w:rPr>
              <w:t xml:space="preserve">941</w:t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102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232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360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социальной защиты населения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категории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  <w:lang w:val="ru-RU"/>
              </w:rPr>
              <w:t xml:space="preserve">620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медицинским кабинетом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  <w:lang w:val="ru-RU"/>
              </w:rPr>
              <w:t xml:space="preserve">007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социальной защиты населения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  <w:lang w:val="ru-RU"/>
              </w:rPr>
              <w:t xml:space="preserve">168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социальной защиты населения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ru-RU"/>
              </w:rPr>
              <w:t xml:space="preserve">330</w:t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 </w:t>
            </w:r>
            <w:r>
              <w:rPr>
                <w:sz w:val="28"/>
                <w:szCs w:val="28"/>
                <w:lang w:val="ru-RU"/>
              </w:rPr>
              <w:t xml:space="preserve">750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>
          <w:tblCellSpacing w:w="0" w:type="dxa"/>
          <w:trHeight w:val="2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6" w:type="dxa"/>
            <w:vAlign w:val="top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социальной защиты населения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6" w:type="dxa"/>
            <w:vAlign w:val="top"/>
            <w:textDirection w:val="lrTb"/>
            <w:noWrap w:val="false"/>
          </w:tcPr>
          <w:p>
            <w:pPr>
              <w:pStyle w:val="9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 xml:space="preserve">11 </w:t>
            </w:r>
            <w:r>
              <w:rPr>
                <w:sz w:val="28"/>
                <w:szCs w:val="28"/>
                <w:lang w:val="ru-RU"/>
              </w:rPr>
              <w:t xml:space="preserve">880».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15"/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915"/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1.2. В разделе 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Условия оплаты труда руководителей учреждений социальной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населения (ОСЗН) и социального обслуживания населения</w:t>
      </w:r>
      <w:r/>
    </w:p>
    <w:p>
      <w:pPr>
        <w:pStyle w:val="915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(КЦСА БОМЖ), их заместителей и главных бухгалтеров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4.2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«Размеры должностных окладов руководителей по группам учреждений» </w:t>
      </w: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</w:r>
      <w:r/>
    </w:p>
    <w:p>
      <w:pPr>
        <w:pStyle w:val="915"/>
        <w:ind w:left="72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87"/>
        <w:gridCol w:w="3969"/>
      </w:tblGrid>
      <w:tr>
        <w:trPr>
          <w:trHeight w:val="641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«Группы учреждений в зависимости от масштаба управления, особенностей деятельности и значимости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рублей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95"/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 xml:space="preserve">75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95"/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523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95"/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134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95"/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682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995"/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12 009</w:t>
            </w:r>
            <w:r>
              <w:rPr>
                <w:sz w:val="28"/>
                <w:szCs w:val="28"/>
                <w:lang w:val="ru-RU"/>
              </w:rPr>
              <w:t xml:space="preserve">».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44"/>
        <w:contextualSpacing/>
        <w:ind w:firstLine="567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1.3. В разделе 5 «</w:t>
      </w:r>
      <w:r>
        <w:rPr>
          <w:rFonts w:ascii="Times New Roman" w:hAnsi="Times New Roman"/>
          <w:sz w:val="28"/>
          <w:szCs w:val="28"/>
        </w:rPr>
        <w:t xml:space="preserve">Порядок и условия установления выплат </w:t>
      </w:r>
      <w:r>
        <w:rPr>
          <w:rFonts w:ascii="Times New Roman" w:hAnsi="Times New Roman"/>
          <w:sz w:val="28"/>
          <w:szCs w:val="28"/>
        </w:rPr>
        <w:t xml:space="preserve">компенсационного характера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пункт 5.9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редакции: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Сверхурочная работа оплачивается исходя из размера заработной платы, установленного в соответствии с действующими системами оплаты труда, включая компенсационные и стимулирующие выплаты, за первые два часа ра</w:t>
      </w:r>
      <w:r>
        <w:rPr>
          <w:rFonts w:ascii="Times New Roman" w:hAnsi="Times New Roman"/>
          <w:sz w:val="28"/>
          <w:szCs w:val="28"/>
        </w:rPr>
        <w:t xml:space="preserve">боты не менее чем в полуторном размере, за последующие часы - не менее чем в двойном размере. </w:t>
      </w:r>
      <w:r>
        <w:rPr>
          <w:rFonts w:ascii="Times New Roman" w:hAnsi="Times New Roman"/>
          <w:sz w:val="28"/>
          <w:szCs w:val="28"/>
        </w:rPr>
        <w:t xml:space="preserve"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По желан</w:t>
      </w:r>
      <w:r>
        <w:rPr>
          <w:rFonts w:ascii="Times New Roman" w:hAnsi="Times New Roman"/>
          <w:sz w:val="28"/>
          <w:szCs w:val="28"/>
        </w:rPr>
        <w:t xml:space="preserve">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944"/>
        <w:contextualSpacing/>
        <w:ind w:firstLine="567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официального опубликования и распространяется на прав</w:t>
      </w:r>
      <w:r>
        <w:rPr>
          <w:sz w:val="28"/>
          <w:szCs w:val="28"/>
        </w:rPr>
        <w:t xml:space="preserve">оотношения, возникшие с 1 октября 20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года.</w:t>
      </w:r>
      <w:r>
        <w:rPr>
          <w:sz w:val="28"/>
          <w:szCs w:val="28"/>
        </w:rPr>
      </w:r>
      <w:r/>
    </w:p>
    <w:p>
      <w:pPr>
        <w:pStyle w:val="944"/>
        <w:contextualSpacing/>
        <w:ind w:firstLine="567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на заместителя Губернатора Брянской области </w:t>
      </w:r>
      <w:r>
        <w:rPr>
          <w:sz w:val="28"/>
          <w:szCs w:val="28"/>
        </w:rPr>
        <w:t xml:space="preserve">Агафонову И.В.</w:t>
      </w:r>
      <w:r>
        <w:rPr>
          <w:sz w:val="28"/>
          <w:szCs w:val="28"/>
        </w:rPr>
      </w:r>
      <w:r/>
    </w:p>
    <w:p>
      <w:pPr>
        <w:pStyle w:val="915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ind w:firstLine="737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  <w:t xml:space="preserve">Губернатор                                                                                          </w:t>
      </w:r>
      <w:r/>
    </w:p>
    <w:p>
      <w:pPr>
        <w:pStyle w:val="926"/>
        <w:ind w:firstLine="0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5" w:h="16838" w:orient="portrait"/>
          <w:pgMar w:top="1134" w:right="567" w:bottom="1134" w:left="1701" w:header="533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  <w:t xml:space="preserve">Брянской области                                                                                    А.В. Богома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rPr>
          <w:sz w:val="28"/>
          <w:szCs w:val="28"/>
        </w:rPr>
      </w:pPr>
      <w:r>
        <w:rPr>
          <w:sz w:val="28"/>
          <w:szCs w:val="28"/>
        </w:rPr>
        <w:t xml:space="preserve">Заместитель  Губернатора </w:t>
      </w:r>
      <w:r/>
    </w:p>
    <w:p>
      <w:pPr>
        <w:pStyle w:val="915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</w:t>
        <w:tab/>
        <w:tab/>
        <w:tab/>
        <w:tab/>
        <w:tab/>
        <w:tab/>
        <w:tab/>
        <w:tab/>
        <w:t xml:space="preserve">Ю.В. Филипенко </w:t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</w:t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  <w:t xml:space="preserve">социальной </w:t>
      </w:r>
      <w:r>
        <w:rPr>
          <w:sz w:val="28"/>
        </w:rPr>
        <w:t xml:space="preserve">политики</w:t>
      </w:r>
      <w:r>
        <w:rPr>
          <w:sz w:val="28"/>
        </w:rPr>
        <w:t xml:space="preserve"> и занятости</w:t>
      </w:r>
      <w:r>
        <w:rPr>
          <w:sz w:val="28"/>
        </w:rPr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</w:rPr>
        <w:t xml:space="preserve">Брянской  области</w:t>
        <w:tab/>
        <w:tab/>
        <w:tab/>
        <w:tab/>
        <w:tab/>
        <w:tab/>
        <w:t xml:space="preserve"> </w:t>
      </w:r>
      <w:r>
        <w:rPr>
          <w:sz w:val="28"/>
        </w:rPr>
        <w:t xml:space="preserve">Е.А. Петров</w:t>
      </w:r>
      <w:r>
        <w:rPr>
          <w:sz w:val="28"/>
        </w:rPr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</w:r>
      <w:r/>
    </w:p>
    <w:p>
      <w:pPr>
        <w:pStyle w:val="915"/>
        <w:jc w:val="both"/>
        <w:rPr>
          <w:sz w:val="28"/>
        </w:rPr>
      </w:pPr>
      <w:r>
        <w:rPr>
          <w:sz w:val="28"/>
        </w:rPr>
        <w:t xml:space="preserve">Начальник  отдела</w:t>
      </w:r>
      <w:r/>
    </w:p>
    <w:p>
      <w:pPr>
        <w:pStyle w:val="915"/>
        <w:jc w:val="both"/>
        <w:rPr>
          <w:sz w:val="28"/>
          <w:szCs w:val="28"/>
        </w:rPr>
      </w:pPr>
      <w:r>
        <w:rPr>
          <w:sz w:val="28"/>
        </w:rPr>
        <w:t xml:space="preserve">делопроизводства </w:t>
        <w:tab/>
        <w:tab/>
        <w:tab/>
        <w:tab/>
        <w:tab/>
        <w:tab/>
        <w:tab/>
      </w:r>
      <w:r>
        <w:rPr>
          <w:sz w:val="28"/>
        </w:rPr>
        <w:t xml:space="preserve">Н.В. </w:t>
      </w:r>
      <w:r>
        <w:rPr>
          <w:sz w:val="28"/>
        </w:rPr>
        <w:t xml:space="preserve">Митрошина </w:t>
      </w:r>
      <w:r>
        <w:rPr>
          <w:sz w:val="28"/>
          <w:szCs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15"/>
        <w:rPr>
          <w:sz w:val="28"/>
        </w:rPr>
      </w:pPr>
      <w:r>
        <w:rPr>
          <w:sz w:val="28"/>
        </w:rPr>
      </w:r>
      <w:r/>
    </w:p>
    <w:p>
      <w:pPr>
        <w:pStyle w:val="938"/>
      </w:pPr>
      <w:r>
        <w:rPr>
          <w:rFonts w:ascii="Times New Roman" w:hAnsi="Times New Roman"/>
          <w:sz w:val="24"/>
          <w:szCs w:val="24"/>
        </w:rPr>
        <w:t xml:space="preserve">Прокопова Е.А.</w:t>
      </w:r>
      <w:r/>
    </w:p>
    <w:p>
      <w:pPr>
        <w:pStyle w:val="915"/>
        <w:jc w:val="both"/>
      </w:pPr>
      <w:r>
        <w:rPr>
          <w:rFonts w:ascii="Times New Roman" w:hAnsi="Times New Roman"/>
          <w:sz w:val="24"/>
          <w:szCs w:val="24"/>
        </w:rPr>
        <w:t xml:space="preserve">8 – (4832) – 30-31-76</w:t>
      </w:r>
      <w:r>
        <w:rPr>
          <w:sz w:val="22"/>
          <w:szCs w:val="22"/>
        </w:rPr>
      </w:r>
      <w:r/>
    </w:p>
    <w:sectPr>
      <w:headerReference w:type="default" r:id="rId11"/>
      <w:footerReference w:type="default" r:id="rId13"/>
      <w:footnotePr/>
      <w:endnotePr/>
      <w:type w:val="nextPage"/>
      <w:pgSz w:w="11905" w:h="16838" w:orient="portrait"/>
      <w:pgMar w:top="992" w:right="851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sz w:val="2"/>
        <w:szCs w:val="2"/>
      </w:rPr>
    </w:pPr>
    <w:r>
      <w:rPr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</w:pPr>
    <w:fldSimple w:instr="PAGE \* MERGEFORMAT">
      <w:r>
        <w:t xml:space="preserve">1</w:t>
      </w:r>
    </w:fldSimple>
    <w:r/>
    <w:r/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</w:pPr>
    <w:r/>
    <w:r/>
  </w:p>
  <w:p>
    <w:pPr>
      <w:pStyle w:val="7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/>
    <w:r/>
  </w:p>
  <w:p>
    <w:pPr>
      <w:pStyle w:val="952"/>
      <w:jc w:val="center"/>
    </w:pPr>
    <w:r/>
    <w:r/>
  </w:p>
  <w:p>
    <w:pPr>
      <w:pStyle w:val="952"/>
    </w:pPr>
    <w:r/>
    <w:r/>
  </w:p>
  <w:p>
    <w:pPr>
      <w:pStyle w:val="952"/>
    </w:pPr>
    <w:r/>
    <w:r/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5"/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5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499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5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5"/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6696" w:hanging="216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5"/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003" w:hanging="720"/>
      </w:pPr>
    </w:lvl>
    <w:lvl w:ilvl="2">
      <w:start w:val="7"/>
      <w:numFmt w:val="decimal"/>
      <w:isLgl w:val="false"/>
      <w:suff w:val="tab"/>
      <w:lvlText w:val="%1.%2.%3."/>
      <w:lvlJc w:val="left"/>
      <w:pPr>
        <w:pStyle w:val="915"/>
        <w:ind w:left="12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192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22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28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34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378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4424" w:hanging="216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91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5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5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6696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5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183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15"/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17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18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23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27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288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3344" w:hanging="2160"/>
      </w:p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9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5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5"/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5"/>
        <w:ind w:left="1003" w:hanging="720"/>
      </w:pPr>
    </w:lvl>
    <w:lvl w:ilvl="2">
      <w:start w:val="5"/>
      <w:numFmt w:val="decimal"/>
      <w:isLgl w:val="false"/>
      <w:suff w:val="tab"/>
      <w:lvlText w:val="%1.%2.%3."/>
      <w:lvlJc w:val="left"/>
      <w:pPr>
        <w:pStyle w:val="915"/>
        <w:ind w:left="12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5"/>
        <w:ind w:left="192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5"/>
        <w:ind w:left="22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5"/>
        <w:ind w:left="28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5"/>
        <w:ind w:left="34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5"/>
        <w:ind w:left="378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5"/>
        <w:ind w:left="4424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5"/>
    <w:next w:val="915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cs="Arial" w:eastAsia="Arial"/>
      <w:sz w:val="40"/>
      <w:szCs w:val="40"/>
    </w:rPr>
  </w:style>
  <w:style w:type="paragraph" w:styleId="740">
    <w:name w:val="Heading 2"/>
    <w:basedOn w:val="915"/>
    <w:next w:val="915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1">
    <w:name w:val="Heading 2 Char"/>
    <w:link w:val="740"/>
    <w:uiPriority w:val="9"/>
    <w:rPr>
      <w:rFonts w:ascii="Arial" w:hAnsi="Arial" w:cs="Arial" w:eastAsia="Arial"/>
      <w:sz w:val="34"/>
    </w:rPr>
  </w:style>
  <w:style w:type="paragraph" w:styleId="742">
    <w:name w:val="Heading 3"/>
    <w:basedOn w:val="915"/>
    <w:next w:val="915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cs="Arial" w:eastAsia="Arial"/>
      <w:sz w:val="30"/>
      <w:szCs w:val="30"/>
    </w:rPr>
  </w:style>
  <w:style w:type="paragraph" w:styleId="744">
    <w:name w:val="Heading 4"/>
    <w:basedOn w:val="915"/>
    <w:next w:val="915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cs="Arial" w:eastAsia="Arial"/>
      <w:b/>
      <w:bCs/>
      <w:sz w:val="26"/>
      <w:szCs w:val="26"/>
    </w:rPr>
  </w:style>
  <w:style w:type="paragraph" w:styleId="746">
    <w:name w:val="Heading 5"/>
    <w:basedOn w:val="915"/>
    <w:next w:val="915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cs="Arial" w:eastAsia="Arial"/>
      <w:b/>
      <w:bCs/>
      <w:sz w:val="24"/>
      <w:szCs w:val="24"/>
    </w:rPr>
  </w:style>
  <w:style w:type="paragraph" w:styleId="748">
    <w:name w:val="Heading 6"/>
    <w:basedOn w:val="915"/>
    <w:next w:val="915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cs="Arial" w:eastAsia="Arial"/>
      <w:b/>
      <w:bCs/>
      <w:sz w:val="22"/>
      <w:szCs w:val="22"/>
    </w:rPr>
  </w:style>
  <w:style w:type="paragraph" w:styleId="750">
    <w:name w:val="Heading 7"/>
    <w:basedOn w:val="915"/>
    <w:next w:val="915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2">
    <w:name w:val="Heading 8"/>
    <w:basedOn w:val="915"/>
    <w:next w:val="915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cs="Arial" w:eastAsia="Arial"/>
      <w:i/>
      <w:iCs/>
      <w:sz w:val="22"/>
      <w:szCs w:val="22"/>
    </w:rPr>
  </w:style>
  <w:style w:type="paragraph" w:styleId="754">
    <w:name w:val="Heading 9"/>
    <w:basedOn w:val="915"/>
    <w:next w:val="915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cs="Arial" w:eastAsia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rPr>
      <w:lang w:val="ru-RU" w:bidi="ar-SA" w:eastAsia="ru-RU"/>
    </w:rPr>
  </w:style>
  <w:style w:type="paragraph" w:styleId="916">
    <w:name w:val="Заголовок 1"/>
    <w:basedOn w:val="915"/>
    <w:next w:val="915"/>
    <w:link w:val="992"/>
    <w:pPr>
      <w:keepNext/>
      <w:outlineLvl w:val="0"/>
    </w:pPr>
    <w:rPr>
      <w:sz w:val="28"/>
    </w:rPr>
  </w:style>
  <w:style w:type="paragraph" w:styleId="917">
    <w:name w:val="Заголовок 2"/>
    <w:basedOn w:val="915"/>
    <w:next w:val="915"/>
    <w:link w:val="915"/>
    <w:pPr>
      <w:jc w:val="center"/>
      <w:keepNext/>
      <w:outlineLvl w:val="1"/>
    </w:pPr>
    <w:rPr>
      <w:sz w:val="28"/>
    </w:rPr>
  </w:style>
  <w:style w:type="paragraph" w:styleId="918">
    <w:name w:val="Заголовок 4"/>
    <w:basedOn w:val="915"/>
    <w:next w:val="915"/>
    <w:link w:val="94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919">
    <w:name w:val="Заголовок 8"/>
    <w:basedOn w:val="915"/>
    <w:next w:val="915"/>
    <w:link w:val="915"/>
    <w:pPr>
      <w:spacing w:before="240" w:after="60"/>
      <w:outlineLvl w:val="7"/>
    </w:pPr>
    <w:rPr>
      <w:i/>
      <w:iCs/>
      <w:sz w:val="24"/>
      <w:szCs w:val="24"/>
    </w:rPr>
  </w:style>
  <w:style w:type="character" w:styleId="920">
    <w:name w:val="Основной шрифт абзаца"/>
    <w:next w:val="920"/>
    <w:link w:val="915"/>
    <w:semiHidden/>
  </w:style>
  <w:style w:type="table" w:styleId="921">
    <w:name w:val="Обычная таблица"/>
    <w:next w:val="921"/>
    <w:link w:val="915"/>
    <w:semiHidden/>
    <w:tblPr/>
  </w:style>
  <w:style w:type="numbering" w:styleId="922">
    <w:name w:val="Нет списка"/>
    <w:next w:val="922"/>
    <w:link w:val="915"/>
    <w:semiHidden/>
  </w:style>
  <w:style w:type="paragraph" w:styleId="923">
    <w:name w:val="Основной текст"/>
    <w:basedOn w:val="915"/>
    <w:next w:val="923"/>
    <w:link w:val="915"/>
    <w:pPr>
      <w:jc w:val="both"/>
    </w:pPr>
    <w:rPr>
      <w:b/>
      <w:bCs/>
      <w:sz w:val="28"/>
    </w:rPr>
  </w:style>
  <w:style w:type="paragraph" w:styleId="924">
    <w:name w:val="ConsNormal"/>
    <w:next w:val="924"/>
    <w:link w:val="915"/>
    <w:pPr>
      <w:ind w:right="19772" w:firstLine="720"/>
      <w:widowControl w:val="off"/>
    </w:pPr>
    <w:rPr>
      <w:rFonts w:ascii="Arial" w:hAnsi="Arial"/>
      <w:lang w:val="ru-RU" w:bidi="ar-SA" w:eastAsia="ru-RU"/>
    </w:rPr>
  </w:style>
  <w:style w:type="paragraph" w:styleId="925">
    <w:name w:val="ConsNonformat"/>
    <w:next w:val="925"/>
    <w:link w:val="915"/>
    <w:pPr>
      <w:ind w:right="19772"/>
      <w:widowControl w:val="off"/>
    </w:pPr>
    <w:rPr>
      <w:rFonts w:ascii="Courier New" w:hAnsi="Courier New"/>
      <w:lang w:val="ru-RU" w:bidi="ar-SA" w:eastAsia="ru-RU"/>
    </w:rPr>
  </w:style>
  <w:style w:type="paragraph" w:styleId="926">
    <w:name w:val="ConsPlusNormal"/>
    <w:next w:val="926"/>
    <w:link w:val="915"/>
    <w:pPr>
      <w:ind w:firstLine="720"/>
      <w:widowControl w:val="off"/>
    </w:pPr>
    <w:rPr>
      <w:rFonts w:ascii="Arial" w:hAnsi="Arial"/>
      <w:lang w:val="ru-RU" w:bidi="ar-SA" w:eastAsia="ru-RU"/>
    </w:rPr>
  </w:style>
  <w:style w:type="table" w:styleId="927">
    <w:name w:val="Сетка таблицы"/>
    <w:basedOn w:val="921"/>
    <w:next w:val="927"/>
    <w:link w:val="915"/>
    <w:tblPr/>
  </w:style>
  <w:style w:type="paragraph" w:styleId="928">
    <w:name w:val="Основной текст с отступом"/>
    <w:basedOn w:val="915"/>
    <w:next w:val="928"/>
    <w:link w:val="915"/>
    <w:pPr>
      <w:ind w:left="283"/>
      <w:spacing w:after="120"/>
    </w:pPr>
  </w:style>
  <w:style w:type="paragraph" w:styleId="929">
    <w:name w:val="Название"/>
    <w:basedOn w:val="915"/>
    <w:next w:val="929"/>
    <w:link w:val="915"/>
    <w:pPr>
      <w:jc w:val="center"/>
      <w:widowControl w:val="off"/>
    </w:pPr>
    <w:rPr>
      <w:sz w:val="32"/>
      <w:szCs w:val="32"/>
    </w:rPr>
  </w:style>
  <w:style w:type="character" w:styleId="930">
    <w:name w:val="Font Style64"/>
    <w:next w:val="930"/>
    <w:link w:val="915"/>
    <w:rPr>
      <w:rFonts w:ascii="Times New Roman" w:hAnsi="Times New Roman"/>
      <w:sz w:val="26"/>
      <w:szCs w:val="26"/>
    </w:rPr>
  </w:style>
  <w:style w:type="paragraph" w:styleId="931">
    <w:name w:val="Основной текст с отступом 2"/>
    <w:basedOn w:val="915"/>
    <w:next w:val="931"/>
    <w:link w:val="915"/>
    <w:pPr>
      <w:ind w:left="283"/>
      <w:spacing w:after="120" w:line="480" w:lineRule="auto"/>
    </w:pPr>
  </w:style>
  <w:style w:type="paragraph" w:styleId="932">
    <w:name w:val="Основной текст с отступом 3"/>
    <w:basedOn w:val="915"/>
    <w:next w:val="932"/>
    <w:link w:val="915"/>
    <w:pPr>
      <w:ind w:left="283"/>
      <w:spacing w:after="120"/>
    </w:pPr>
    <w:rPr>
      <w:sz w:val="16"/>
      <w:szCs w:val="16"/>
    </w:rPr>
  </w:style>
  <w:style w:type="paragraph" w:styleId="933">
    <w:name w:val="Основной текст 2"/>
    <w:basedOn w:val="915"/>
    <w:next w:val="933"/>
    <w:link w:val="915"/>
    <w:pPr>
      <w:spacing w:after="120" w:line="480" w:lineRule="auto"/>
    </w:pPr>
  </w:style>
  <w:style w:type="paragraph" w:styleId="934">
    <w:name w:val="Style4"/>
    <w:basedOn w:val="915"/>
    <w:next w:val="934"/>
    <w:link w:val="915"/>
    <w:pPr>
      <w:spacing w:line="320" w:lineRule="exact"/>
      <w:widowControl w:val="off"/>
    </w:pPr>
    <w:rPr>
      <w:sz w:val="24"/>
      <w:szCs w:val="24"/>
    </w:rPr>
  </w:style>
  <w:style w:type="paragraph" w:styleId="935">
    <w:name w:val="Style18"/>
    <w:basedOn w:val="915"/>
    <w:next w:val="935"/>
    <w:link w:val="915"/>
    <w:pPr>
      <w:jc w:val="both"/>
      <w:spacing w:line="322" w:lineRule="exact"/>
      <w:widowControl w:val="off"/>
    </w:pPr>
    <w:rPr>
      <w:sz w:val="24"/>
      <w:szCs w:val="24"/>
    </w:rPr>
  </w:style>
  <w:style w:type="paragraph" w:styleId="936">
    <w:name w:val="Style19"/>
    <w:basedOn w:val="915"/>
    <w:next w:val="936"/>
    <w:link w:val="915"/>
    <w:pPr>
      <w:ind w:firstLine="691"/>
      <w:jc w:val="both"/>
      <w:spacing w:line="326" w:lineRule="exact"/>
      <w:widowControl w:val="off"/>
    </w:pPr>
    <w:rPr>
      <w:sz w:val="24"/>
      <w:szCs w:val="24"/>
    </w:rPr>
  </w:style>
  <w:style w:type="paragraph" w:styleId="937">
    <w:name w:val="Style9"/>
    <w:basedOn w:val="915"/>
    <w:next w:val="937"/>
    <w:link w:val="915"/>
    <w:pPr>
      <w:jc w:val="both"/>
      <w:widowControl w:val="off"/>
    </w:pPr>
    <w:rPr>
      <w:sz w:val="24"/>
      <w:szCs w:val="24"/>
    </w:rPr>
  </w:style>
  <w:style w:type="paragraph" w:styleId="938">
    <w:name w:val="Текст"/>
    <w:basedOn w:val="915"/>
    <w:next w:val="938"/>
    <w:link w:val="946"/>
    <w:rPr>
      <w:rFonts w:ascii="Courier New" w:hAnsi="Courier New"/>
      <w:lang w:val="en-US" w:eastAsia="en-US"/>
    </w:rPr>
  </w:style>
  <w:style w:type="paragraph" w:styleId="939">
    <w:name w:val="Знак Знак Знак"/>
    <w:basedOn w:val="915"/>
    <w:next w:val="939"/>
    <w:link w:val="915"/>
    <w:pPr>
      <w:spacing w:after="160" w:line="240" w:lineRule="exact"/>
    </w:pPr>
    <w:rPr>
      <w:rFonts w:ascii="Verdana" w:hAnsi="Verdana"/>
      <w:lang w:val="en-US" w:eastAsia="en-US"/>
    </w:rPr>
  </w:style>
  <w:style w:type="paragraph" w:styleId="940">
    <w:name w:val="Текст выноски"/>
    <w:basedOn w:val="915"/>
    <w:next w:val="940"/>
    <w:link w:val="941"/>
    <w:rPr>
      <w:rFonts w:ascii="Tahoma" w:hAnsi="Tahoma"/>
      <w:sz w:val="16"/>
      <w:szCs w:val="16"/>
      <w:lang w:val="en-US" w:eastAsia="en-US"/>
    </w:rPr>
  </w:style>
  <w:style w:type="character" w:styleId="941">
    <w:name w:val="Текст выноски Знак"/>
    <w:next w:val="941"/>
    <w:link w:val="940"/>
    <w:rPr>
      <w:rFonts w:ascii="Tahoma" w:hAnsi="Tahoma"/>
      <w:sz w:val="16"/>
      <w:szCs w:val="16"/>
    </w:rPr>
  </w:style>
  <w:style w:type="character" w:styleId="942">
    <w:name w:val="Заголовок 4 Знак"/>
    <w:next w:val="942"/>
    <w:link w:val="918"/>
    <w:rPr>
      <w:b/>
      <w:bCs/>
      <w:sz w:val="28"/>
      <w:szCs w:val="28"/>
    </w:rPr>
  </w:style>
  <w:style w:type="paragraph" w:styleId="943">
    <w:name w:val="Знак Знак Знак Знак"/>
    <w:basedOn w:val="915"/>
    <w:next w:val="943"/>
    <w:link w:val="920"/>
    <w:pPr>
      <w:ind w:firstLine="680"/>
      <w:jc w:val="both"/>
    </w:pPr>
    <w:rPr>
      <w:rFonts w:ascii="Verdana" w:hAnsi="Verdana"/>
      <w:lang w:val="en-US" w:eastAsia="en-US"/>
    </w:rPr>
  </w:style>
  <w:style w:type="paragraph" w:styleId="944">
    <w:name w:val="Обычный (веб)"/>
    <w:basedOn w:val="915"/>
    <w:next w:val="944"/>
    <w:link w:val="991"/>
    <w:pPr>
      <w:spacing w:before="100" w:beforeAutospacing="1" w:after="100" w:afterAutospacing="1"/>
    </w:pPr>
    <w:rPr>
      <w:sz w:val="24"/>
      <w:szCs w:val="24"/>
    </w:rPr>
  </w:style>
  <w:style w:type="character" w:styleId="945">
    <w:name w:val="Гиперссылка"/>
    <w:next w:val="945"/>
    <w:link w:val="915"/>
    <w:rPr>
      <w:color w:val="0000FF"/>
      <w:u w:val="single"/>
    </w:rPr>
  </w:style>
  <w:style w:type="character" w:styleId="946">
    <w:name w:val="Текст Знак"/>
    <w:next w:val="946"/>
    <w:link w:val="938"/>
    <w:rPr>
      <w:rFonts w:ascii="Courier New" w:hAnsi="Courier New"/>
    </w:rPr>
  </w:style>
  <w:style w:type="paragraph" w:styleId="947">
    <w:name w:val="List Paragraph"/>
    <w:basedOn w:val="915"/>
    <w:next w:val="947"/>
    <w:link w:val="915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48">
    <w:name w:val=".FORMATTEXT"/>
    <w:next w:val="948"/>
    <w:link w:val="915"/>
    <w:pPr>
      <w:widowControl w:val="off"/>
    </w:pPr>
    <w:rPr>
      <w:sz w:val="24"/>
      <w:szCs w:val="24"/>
      <w:lang w:val="ru-RU" w:bidi="ar-SA" w:eastAsia="ru-RU"/>
    </w:rPr>
  </w:style>
  <w:style w:type="paragraph" w:styleId="949">
    <w:name w:val="ConsPlusTitle"/>
    <w:next w:val="949"/>
    <w:link w:val="915"/>
    <w:rPr>
      <w:rFonts w:ascii="Arial" w:hAnsi="Arial"/>
      <w:b/>
      <w:bCs/>
      <w:lang w:val="ru-RU" w:bidi="ar-SA" w:eastAsia="ru-RU"/>
    </w:rPr>
  </w:style>
  <w:style w:type="paragraph" w:styleId="950">
    <w:name w:val="Style2"/>
    <w:basedOn w:val="915"/>
    <w:next w:val="950"/>
    <w:link w:val="915"/>
    <w:pPr>
      <w:ind w:firstLine="557"/>
      <w:jc w:val="both"/>
      <w:spacing w:line="322" w:lineRule="exact"/>
      <w:widowControl w:val="off"/>
    </w:pPr>
    <w:rPr>
      <w:sz w:val="24"/>
      <w:szCs w:val="24"/>
    </w:rPr>
  </w:style>
  <w:style w:type="character" w:styleId="951">
    <w:name w:val="Font Style11"/>
    <w:next w:val="951"/>
    <w:link w:val="915"/>
    <w:rPr>
      <w:rFonts w:ascii="Times New Roman" w:hAnsi="Times New Roman"/>
      <w:color w:val="000000"/>
      <w:sz w:val="28"/>
      <w:szCs w:val="28"/>
    </w:rPr>
  </w:style>
  <w:style w:type="paragraph" w:styleId="952">
    <w:name w:val="Верхний колонтитул"/>
    <w:basedOn w:val="915"/>
    <w:next w:val="952"/>
    <w:link w:val="953"/>
    <w:pPr>
      <w:tabs>
        <w:tab w:val="center" w:pos="4677" w:leader="none"/>
        <w:tab w:val="right" w:pos="9355" w:leader="none"/>
      </w:tabs>
    </w:pPr>
  </w:style>
  <w:style w:type="character" w:styleId="953">
    <w:name w:val="Верхний колонтитул Знак"/>
    <w:basedOn w:val="920"/>
    <w:next w:val="953"/>
    <w:link w:val="952"/>
  </w:style>
  <w:style w:type="paragraph" w:styleId="954">
    <w:name w:val="Нижний колонтитул"/>
    <w:basedOn w:val="915"/>
    <w:next w:val="954"/>
    <w:link w:val="955"/>
    <w:pPr>
      <w:tabs>
        <w:tab w:val="center" w:pos="4677" w:leader="none"/>
        <w:tab w:val="right" w:pos="9355" w:leader="none"/>
      </w:tabs>
    </w:pPr>
  </w:style>
  <w:style w:type="character" w:styleId="955">
    <w:name w:val="Нижний колонтитул Знак"/>
    <w:basedOn w:val="920"/>
    <w:next w:val="955"/>
    <w:link w:val="954"/>
  </w:style>
  <w:style w:type="character" w:styleId="956">
    <w:name w:val="Просмотренная гиперссылка"/>
    <w:next w:val="956"/>
    <w:link w:val="915"/>
    <w:rPr>
      <w:color w:val="800080"/>
      <w:u w:val="single"/>
    </w:rPr>
  </w:style>
  <w:style w:type="paragraph" w:styleId="957">
    <w:name w:val="xl63"/>
    <w:basedOn w:val="915"/>
    <w:next w:val="957"/>
    <w:link w:val="915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958">
    <w:name w:val="xl64"/>
    <w:basedOn w:val="915"/>
    <w:next w:val="958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65"/>
    <w:basedOn w:val="915"/>
    <w:next w:val="959"/>
    <w:link w:val="915"/>
    <w:pPr>
      <w:jc w:val="center"/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66"/>
    <w:basedOn w:val="915"/>
    <w:next w:val="960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67"/>
    <w:basedOn w:val="915"/>
    <w:next w:val="961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68"/>
    <w:basedOn w:val="915"/>
    <w:next w:val="962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69"/>
    <w:basedOn w:val="915"/>
    <w:next w:val="963"/>
    <w:link w:val="915"/>
    <w:pPr>
      <w:jc w:val="center"/>
      <w:spacing w:before="100" w:beforeAutospacing="1" w:after="100" w:afterAutospacing="1"/>
      <w:shd w:val="clear" w:color="ffffff" w:fill="ffffff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70"/>
    <w:basedOn w:val="915"/>
    <w:next w:val="964"/>
    <w:link w:val="915"/>
    <w:pPr>
      <w:spacing w:before="100" w:beforeAutospacing="1" w:after="100" w:afterAutospacing="1"/>
      <w:shd w:val="clear" w:color="ffffff" w:fill="ffffff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71"/>
    <w:basedOn w:val="915"/>
    <w:next w:val="965"/>
    <w:link w:val="915"/>
    <w:pPr>
      <w:jc w:val="center"/>
      <w:spacing w:before="100" w:beforeAutospacing="1" w:after="100" w:afterAutospacing="1"/>
      <w:shd w:val="clear" w:color="ffffff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72"/>
    <w:basedOn w:val="915"/>
    <w:next w:val="966"/>
    <w:link w:val="915"/>
    <w:pPr>
      <w:spacing w:before="100" w:beforeAutospacing="1" w:after="100" w:afterAutospacing="1"/>
      <w:shd w:val="clear" w:color="ffffff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>
    <w:name w:val="xl73"/>
    <w:basedOn w:val="915"/>
    <w:next w:val="967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>
    <w:name w:val="xl74"/>
    <w:basedOn w:val="915"/>
    <w:next w:val="968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>
    <w:name w:val="xl75"/>
    <w:basedOn w:val="915"/>
    <w:next w:val="969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76"/>
    <w:basedOn w:val="915"/>
    <w:next w:val="970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77"/>
    <w:basedOn w:val="915"/>
    <w:next w:val="971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78"/>
    <w:basedOn w:val="915"/>
    <w:next w:val="972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79"/>
    <w:basedOn w:val="915"/>
    <w:next w:val="973"/>
    <w:link w:val="915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80"/>
    <w:basedOn w:val="915"/>
    <w:next w:val="974"/>
    <w:link w:val="915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81"/>
    <w:basedOn w:val="915"/>
    <w:next w:val="975"/>
    <w:link w:val="915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82"/>
    <w:basedOn w:val="915"/>
    <w:next w:val="976"/>
    <w:link w:val="915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7">
    <w:name w:val="xl83"/>
    <w:basedOn w:val="915"/>
    <w:next w:val="977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8">
    <w:name w:val="xl84"/>
    <w:basedOn w:val="915"/>
    <w:next w:val="978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9">
    <w:name w:val="xl85"/>
    <w:basedOn w:val="915"/>
    <w:next w:val="979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86"/>
    <w:basedOn w:val="915"/>
    <w:next w:val="980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87"/>
    <w:basedOn w:val="915"/>
    <w:next w:val="981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88"/>
    <w:basedOn w:val="915"/>
    <w:next w:val="982"/>
    <w:link w:val="915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89"/>
    <w:basedOn w:val="915"/>
    <w:next w:val="983"/>
    <w:link w:val="915"/>
    <w:pPr>
      <w:spacing w:before="100" w:beforeAutospacing="1" w:after="100" w:afterAutospacing="1"/>
    </w:pPr>
    <w:rPr>
      <w:sz w:val="24"/>
      <w:szCs w:val="24"/>
    </w:rPr>
  </w:style>
  <w:style w:type="paragraph" w:styleId="984">
    <w:name w:val="xl90"/>
    <w:basedOn w:val="915"/>
    <w:next w:val="984"/>
    <w:link w:val="915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985">
    <w:name w:val="xl91"/>
    <w:basedOn w:val="915"/>
    <w:next w:val="985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6">
    <w:name w:val="xl92"/>
    <w:basedOn w:val="915"/>
    <w:next w:val="986"/>
    <w:link w:val="915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93"/>
    <w:basedOn w:val="915"/>
    <w:next w:val="987"/>
    <w:link w:val="915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Абзац списка"/>
    <w:basedOn w:val="915"/>
    <w:next w:val="988"/>
    <w:link w:val="915"/>
    <w:pPr>
      <w:contextualSpacing/>
      <w:ind w:left="720"/>
    </w:pPr>
    <w:rPr>
      <w:sz w:val="24"/>
      <w:szCs w:val="24"/>
      <w:lang w:eastAsia="ar-SA"/>
    </w:rPr>
  </w:style>
  <w:style w:type="paragraph" w:styleId="989">
    <w:name w:val="Абзац списка1"/>
    <w:basedOn w:val="915"/>
    <w:next w:val="989"/>
    <w:link w:val="915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90">
    <w:name w:val="headertext topleveltext centertext"/>
    <w:basedOn w:val="915"/>
    <w:next w:val="990"/>
    <w:link w:val="915"/>
    <w:pPr>
      <w:spacing w:before="100" w:beforeAutospacing="1" w:after="100" w:afterAutospacing="1"/>
    </w:pPr>
    <w:rPr>
      <w:sz w:val="24"/>
      <w:szCs w:val="24"/>
    </w:rPr>
  </w:style>
  <w:style w:type="character" w:styleId="991">
    <w:name w:val="Обычный (веб) Знак"/>
    <w:next w:val="991"/>
    <w:link w:val="944"/>
    <w:rPr>
      <w:sz w:val="24"/>
      <w:szCs w:val="24"/>
    </w:rPr>
  </w:style>
  <w:style w:type="character" w:styleId="992">
    <w:name w:val="Заголовок 1 Знак"/>
    <w:next w:val="992"/>
    <w:link w:val="916"/>
    <w:rPr>
      <w:sz w:val="28"/>
    </w:rPr>
  </w:style>
  <w:style w:type="paragraph" w:styleId="993">
    <w:name w:val="ConsPlusNonformat"/>
    <w:next w:val="993"/>
    <w:link w:val="915"/>
    <w:pPr>
      <w:widowControl w:val="off"/>
    </w:pPr>
    <w:rPr>
      <w:rFonts w:ascii="Courier New" w:hAnsi="Courier New"/>
      <w:lang w:val="ru-RU" w:bidi="ar-SA" w:eastAsia="ru-RU"/>
    </w:rPr>
  </w:style>
  <w:style w:type="paragraph" w:styleId="994">
    <w:name w:val="ConsPlusCell"/>
    <w:next w:val="994"/>
    <w:link w:val="915"/>
    <w:pPr>
      <w:widowControl w:val="off"/>
    </w:pPr>
    <w:rPr>
      <w:rFonts w:ascii="Arial" w:hAnsi="Arial"/>
      <w:lang w:val="ru-RU" w:bidi="ar-SA" w:eastAsia="ru-RU"/>
    </w:rPr>
  </w:style>
  <w:style w:type="paragraph" w:styleId="995">
    <w:name w:val="Нормальный (таблица)"/>
    <w:basedOn w:val="915"/>
    <w:next w:val="915"/>
    <w:link w:val="915"/>
    <w:pPr>
      <w:jc w:val="both"/>
      <w:widowControl w:val="off"/>
    </w:pPr>
    <w:rPr>
      <w:rFonts w:ascii="Arial" w:hAnsi="Arial"/>
      <w:sz w:val="24"/>
      <w:szCs w:val="24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2024-09-11T11:26:52Z</dcterms:modified>
</cp:coreProperties>
</file>